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sz w:val="28"/>
          <w:szCs w:val="28"/>
        </w:rPr>
        <w:t xml:space="preserve">бследование достоверности, полноты и соответствия нормативным требованиям составления и представления квартального отчета об исполнении бюджета города Сочи за первое полугодие 2024 года</w:t>
      </w:r>
      <w:bookmarkStart w:id="0" w:name="_GoBack"/>
      <w:r/>
      <w:bookmarkEnd w:id="0"/>
      <w:r/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Контрольно-счетная палата муниципального образования городской округ город-курорт Сочи Краснодарского края провела обследование достоверности, полноты и соответствия нормативным требованиям составления </w:t>
      </w:r>
      <w:r>
        <w:rPr>
          <w:rFonts w:ascii="Times New Roman" w:hAnsi="Times New Roman" w:cs="Times New Roman"/>
          <w:sz w:val="28"/>
          <w:szCs w:val="28"/>
        </w:rPr>
        <w:t xml:space="preserve">и представления квартального отчета об исполнении бюджета города Сочи за </w:t>
      </w:r>
      <w:r>
        <w:rPr>
          <w:rFonts w:ascii="Times New Roman" w:hAnsi="Times New Roman" w:cs="Times New Roman"/>
          <w:sz w:val="28"/>
          <w:szCs w:val="28"/>
        </w:rPr>
        <w:t xml:space="preserve">перв</w:t>
      </w:r>
      <w:r>
        <w:rPr>
          <w:rFonts w:ascii="Times New Roman" w:hAnsi="Times New Roman" w:cs="Times New Roman"/>
          <w:sz w:val="28"/>
          <w:szCs w:val="28"/>
        </w:rPr>
        <w:t xml:space="preserve">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полугодие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года (далее – обследование).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обследования являлась оценка достоверности, полноты и соответствия нормативным требованиям составления и представления квартального отчета об исполнении бюджета города Сочи и соблюдения участниками бюджетного процесса требований Бюджетног</w:t>
      </w:r>
      <w:r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 и Положения о бюджетном процессе в муниципальном образовании городской округ город-курорт Сочи Краснодарского края, решения Городского Собрания муниципального образования городской округ город-курорт Сочи Краснодарского края </w:t>
      </w:r>
      <w:r>
        <w:rPr>
          <w:rFonts w:ascii="Times New Roman" w:hAnsi="Times New Roman" w:cs="Times New Roman"/>
          <w:sz w:val="28"/>
          <w:szCs w:val="28"/>
        </w:rPr>
        <w:t xml:space="preserve">от 21 декабря 2023 года № 165 «О бюджете города Сочи на 2024 год и на плановый период 2025 и 2026 годов»</w:t>
      </w:r>
      <w:r>
        <w:rPr>
          <w:rFonts w:ascii="Times New Roman" w:hAnsi="Times New Roman" w:cs="Times New Roman"/>
          <w:sz w:val="28"/>
          <w:szCs w:val="28"/>
        </w:rPr>
        <w:t xml:space="preserve"> (с </w:t>
      </w:r>
      <w:r>
        <w:rPr>
          <w:rFonts w:ascii="Times New Roman" w:hAnsi="Times New Roman" w:cs="Times New Roman"/>
          <w:sz w:val="28"/>
          <w:szCs w:val="28"/>
        </w:rPr>
        <w:t xml:space="preserve">изменениями).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Задачами обследования являлись:</w:t>
      </w:r>
      <w:r/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оценка соответствия исполнения бюджета города за отчётный период положениям Бюджетного кодекса Российской Федерации, Положения о бюджетном процессе и иным нормативным правовым актам;</w:t>
      </w:r>
      <w:r/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установление достоверности показателей отчёта об исполнении бюджета на 1 июля 2024 года (форма 0503117), документов и материалов, представленных по запросам;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сравнение показателей об исполнении бюджета за первое полугодие 2024 года с показателями за аналогичный период прошлого года и с первоначально утвержденным бюджетом.</w:t>
      </w:r>
      <w:r/>
    </w:p>
    <w:p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 итогам проведения обследования установлено:</w:t>
      </w:r>
      <w:r/>
    </w:p>
    <w:p>
      <w:pPr>
        <w:numPr>
          <w:ilvl w:val="0"/>
          <w:numId w:val="10"/>
        </w:numPr>
        <w:contextualSpacing/>
        <w:ind w:left="0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Отчет администрации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городской округ город-курорт Сочи Краснодарского края об исполнении бюджета города Сочи </w:t>
      </w:r>
      <w:r>
        <w:rPr>
          <w:rFonts w:ascii="Times New Roman" w:hAnsi="Times New Roman" w:cs="Times New Roman"/>
          <w:sz w:val="28"/>
          <w:szCs w:val="28"/>
        </w:rPr>
        <w:t xml:space="preserve">за перв</w:t>
      </w:r>
      <w:r>
        <w:rPr>
          <w:rFonts w:ascii="Times New Roman" w:hAnsi="Times New Roman" w:cs="Times New Roman"/>
          <w:sz w:val="28"/>
          <w:szCs w:val="28"/>
        </w:rPr>
        <w:t xml:space="preserve">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полугодие</w:t>
      </w:r>
      <w:r>
        <w:rPr>
          <w:rFonts w:ascii="Times New Roman" w:hAnsi="Times New Roman" w:cs="Times New Roman"/>
          <w:sz w:val="28"/>
          <w:szCs w:val="28"/>
        </w:rPr>
        <w:t xml:space="preserve"> 2024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соответствует нормам бюджетного законодательства и отражает соблюдение основных принципов бюджетной системы Российской Федерации.</w:t>
      </w:r>
      <w:r/>
    </w:p>
    <w:p>
      <w:pPr>
        <w:contextualSpacing/>
        <w:ind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Согласно отчету об исполнении бюджета, общие итоги исполнения бюджета города </w:t>
      </w:r>
      <w:r>
        <w:rPr>
          <w:rFonts w:ascii="Times New Roman" w:hAnsi="Times New Roman" w:cs="Times New Roman"/>
          <w:sz w:val="28"/>
          <w:szCs w:val="28"/>
        </w:rPr>
        <w:t xml:space="preserve">за первое полугодие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2024 года характеризуются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следующими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основными показателями:</w:t>
      </w:r>
      <w:r/>
    </w:p>
    <w:p>
      <w:pPr>
        <w:contextualSpacing/>
        <w:ind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доходы бюджета составили </w:t>
      </w:r>
      <w:r>
        <w:rPr>
          <w:rFonts w:ascii="Times New Roman" w:hAnsi="Times New Roman" w:cs="Times New Roman"/>
          <w:sz w:val="28"/>
          <w:szCs w:val="28"/>
        </w:rPr>
        <w:t xml:space="preserve">14 385 362,2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рублей или 43,28% к годовым утвержденным назначениям;</w:t>
      </w:r>
      <w:r/>
    </w:p>
    <w:p>
      <w:pPr>
        <w:contextualSpacing/>
        <w:ind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расходы бюджета составили </w:t>
      </w:r>
      <w:r>
        <w:rPr>
          <w:rFonts w:ascii="Times New Roman" w:hAnsi="Times New Roman" w:cs="Times New Roman" w:eastAsia="Calibri"/>
          <w:sz w:val="28"/>
          <w:szCs w:val="28"/>
          <w:lang w:eastAsia="en-US"/>
        </w:rPr>
        <w:t xml:space="preserve">14 360 926,2 </w:t>
      </w:r>
      <w:r>
        <w:rPr>
          <w:rFonts w:ascii="Times New Roman" w:hAnsi="Times New Roman" w:cs="Times New Roman"/>
          <w:bCs/>
          <w:sz w:val="28"/>
          <w:szCs w:val="28"/>
        </w:rPr>
        <w:t xml:space="preserve">тыс. рублей или 40,36% к годовым утвержденным назначениям.</w:t>
      </w:r>
      <w:r/>
    </w:p>
    <w:p>
      <w:pPr>
        <w:contextualSpacing/>
        <w:ind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Фактический объем муниципального долга по состоянию на 01.07.2024 года</w:t>
      </w:r>
      <w:r>
        <w:rPr>
          <w:rFonts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 превысил установленный показатель верхнего предела.</w:t>
      </w:r>
      <w:r/>
    </w:p>
    <w:p>
      <w:pPr>
        <w:contextualSpacing/>
        <w:ind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По состоянию на 01 июля 2024 года бюджет исполнен с дефицитом в сумме 24 435,98 тыс. рублей.</w:t>
      </w:r>
      <w:r/>
    </w:p>
    <w:p>
      <w:pPr>
        <w:contextualSpacing/>
        <w:ind w:firstLine="851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contextualSpacing/>
        <w:ind w:firstLine="851"/>
        <w:jc w:val="both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 результатам проведения обследования Контрольно-счетная палата</w:t>
      </w:r>
      <w:r>
        <w:rPr>
          <w:rFonts w:cs="Times New Roman" w:eastAsia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муниципального образования городской округ город-курорт Сочи Краснодарского края</w:t>
      </w:r>
      <w:r>
        <w:rPr>
          <w:rFonts w:cs="Times New Roman" w:eastAsia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рекомендует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Администрации муниципального образования городской округ город-курорт Сочи Краснодарского края:</w:t>
      </w:r>
      <w:r/>
    </w:p>
    <w:p>
      <w:pPr>
        <w:contextualSpacing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Главным распорядителям бюджетных средств и ответственным исполнителям мероприятий муниципальных программ взять под особый контроль исполнение национальных проектов «Образование» и «Жилье и городская среда».</w:t>
      </w:r>
      <w:r/>
    </w:p>
    <w:p>
      <w:pPr>
        <w:contextualSpacing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Обеспечить исполнение плановых назначений по налоговым и неналоговым доходам.</w:t>
      </w:r>
      <w:r/>
    </w:p>
    <w:p>
      <w:pPr>
        <w:pStyle w:val="689"/>
        <w:ind w:left="0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Обеспечить результативность проводимых мероприятий по снижению недоимки по неналоговым доходам, зачисляемых в бюджет города Сочи, учитывая ее постоянный рост и значительный объем.</w:t>
      </w:r>
      <w:r/>
    </w:p>
    <w:p>
      <w:pPr>
        <w:contextualSpacing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Обеспечить соблюдение </w:t>
      </w:r>
      <w:r>
        <w:rPr>
          <w:rFonts w:ascii="Times New Roman" w:hAnsi="Times New Roman" w:cs="Times New Roman" w:eastAsia="Calibri"/>
          <w:sz w:val="28"/>
          <w:szCs w:val="28"/>
          <w:lang w:eastAsia="en-US"/>
        </w:rPr>
        <w:t xml:space="preserve">Прогнозного плана (программы) приватизации муниципального имущества му</w:t>
      </w:r>
      <w:r>
        <w:rPr>
          <w:rFonts w:ascii="Times New Roman" w:hAnsi="Times New Roman" w:cs="Times New Roman" w:eastAsia="Calibri"/>
          <w:sz w:val="28"/>
          <w:szCs w:val="28"/>
          <w:lang w:eastAsia="en-US"/>
        </w:rPr>
        <w:t xml:space="preserve">ниципального образования городской округ город-курорт Сочи Краснодарского края на 2024-2026 годы, утвержденного решением Городского Собрания Сочи муниципального образования городской округ город-курорт Сочи Краснодарского края от 27 февраля 2024 года № 16.</w:t>
      </w:r>
      <w:r/>
    </w:p>
    <w:p>
      <w:pPr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Экономию бюджетных сре</w:t>
      </w:r>
      <w:r>
        <w:rPr>
          <w:rFonts w:ascii="Times New Roman" w:hAnsi="Times New Roman" w:cs="Times New Roman"/>
          <w:sz w:val="28"/>
          <w:szCs w:val="28"/>
        </w:rPr>
        <w:t xml:space="preserve">дств в с</w:t>
      </w:r>
      <w:r>
        <w:rPr>
          <w:rFonts w:ascii="Times New Roman" w:hAnsi="Times New Roman" w:cs="Times New Roman"/>
          <w:sz w:val="28"/>
          <w:szCs w:val="28"/>
        </w:rPr>
        <w:t xml:space="preserve">умме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38 180,4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образо</w:t>
      </w:r>
      <w:r>
        <w:rPr>
          <w:rFonts w:ascii="Times New Roman" w:hAnsi="Times New Roman" w:cs="Times New Roman"/>
          <w:sz w:val="28"/>
          <w:szCs w:val="28"/>
        </w:rPr>
        <w:t xml:space="preserve">вавшуюся в результате реализации мероприятий муниципальных программ города Сочи, своевременно перераспределить на решение других социально-значимых вопросов местного значения муниципального образования городской округ город-курорт Сочи Краснодарского края.</w:t>
      </w:r>
      <w:r/>
    </w:p>
    <w:p>
      <w:pPr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Обеспечить утверждение отчета об исполнении местного бюджета за первый квартал, полугодие и девять месяцев текущего финансового года не позднее 30 календарных дней </w:t>
      </w:r>
      <w:r>
        <w:rPr>
          <w:rFonts w:ascii="Times New Roman" w:hAnsi="Times New Roman" w:cs="Times New Roman"/>
          <w:sz w:val="28"/>
          <w:szCs w:val="28"/>
        </w:rPr>
        <w:t xml:space="preserve">с даты окончания</w:t>
      </w:r>
      <w:r>
        <w:rPr>
          <w:rFonts w:ascii="Times New Roman" w:hAnsi="Times New Roman" w:cs="Times New Roman"/>
          <w:sz w:val="28"/>
          <w:szCs w:val="28"/>
        </w:rPr>
        <w:t xml:space="preserve"> отчетного периода.</w:t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689367098"/>
      <w:docPartObj>
        <w:docPartGallery w:val="Page Numbers (Top of Page)"/>
        <w:docPartUnique w:val="true"/>
      </w:docPartObj>
      <w:rPr/>
    </w:sdtPr>
    <w:sdtContent>
      <w:p>
        <w:pPr>
          <w:pStyle w:val="690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/>
      </w:p>
    </w:sdtContent>
  </w:sdt>
  <w:p>
    <w:pPr>
      <w:pStyle w:val="69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70" w:hanging="12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10"/>
  </w:num>
  <w:num w:numId="8">
    <w:abstractNumId w:val="5"/>
  </w:num>
  <w:num w:numId="9">
    <w:abstractNumId w:val="3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Times New Roman" w:hint="default"/>
        <w:sz w:val="22"/>
        <w:szCs w:val="22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80"/>
    <w:next w:val="680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81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80"/>
    <w:next w:val="680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81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80"/>
    <w:next w:val="680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81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80"/>
    <w:next w:val="680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81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80"/>
    <w:next w:val="680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81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80"/>
    <w:next w:val="680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81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80"/>
    <w:next w:val="680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81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80"/>
    <w:next w:val="680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81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80"/>
    <w:next w:val="680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81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680"/>
    <w:next w:val="680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81"/>
    <w:link w:val="32"/>
    <w:uiPriority w:val="10"/>
    <w:rPr>
      <w:sz w:val="48"/>
      <w:szCs w:val="48"/>
    </w:rPr>
  </w:style>
  <w:style w:type="paragraph" w:styleId="34">
    <w:name w:val="Subtitle"/>
    <w:basedOn w:val="680"/>
    <w:next w:val="680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81"/>
    <w:link w:val="34"/>
    <w:uiPriority w:val="11"/>
    <w:rPr>
      <w:sz w:val="24"/>
      <w:szCs w:val="24"/>
    </w:rPr>
  </w:style>
  <w:style w:type="paragraph" w:styleId="36">
    <w:name w:val="Quote"/>
    <w:basedOn w:val="680"/>
    <w:next w:val="680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80"/>
    <w:next w:val="680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81"/>
    <w:link w:val="690"/>
    <w:uiPriority w:val="99"/>
  </w:style>
  <w:style w:type="character" w:styleId="43">
    <w:name w:val="Footer Char"/>
    <w:basedOn w:val="681"/>
    <w:link w:val="692"/>
    <w:uiPriority w:val="99"/>
  </w:style>
  <w:style w:type="paragraph" w:styleId="44">
    <w:name w:val="Caption"/>
    <w:basedOn w:val="680"/>
    <w:next w:val="68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692"/>
    <w:uiPriority w:val="99"/>
  </w:style>
  <w:style w:type="table" w:styleId="47">
    <w:name w:val="Table Grid Light"/>
    <w:basedOn w:val="6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8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80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81"/>
    <w:uiPriority w:val="99"/>
    <w:unhideWhenUsed/>
    <w:rPr>
      <w:vertAlign w:val="superscript"/>
    </w:rPr>
  </w:style>
  <w:style w:type="paragraph" w:styleId="176">
    <w:name w:val="endnote text"/>
    <w:basedOn w:val="680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81"/>
    <w:uiPriority w:val="99"/>
    <w:semiHidden/>
    <w:unhideWhenUsed/>
    <w:rPr>
      <w:vertAlign w:val="superscript"/>
    </w:rPr>
  </w:style>
  <w:style w:type="paragraph" w:styleId="179">
    <w:name w:val="toc 1"/>
    <w:basedOn w:val="680"/>
    <w:next w:val="680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80"/>
    <w:next w:val="680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80"/>
    <w:next w:val="680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80"/>
    <w:next w:val="680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80"/>
    <w:next w:val="680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80"/>
    <w:next w:val="680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80"/>
    <w:next w:val="680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80"/>
    <w:next w:val="680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80"/>
    <w:next w:val="680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80"/>
    <w:next w:val="680"/>
    <w:uiPriority w:val="99"/>
    <w:unhideWhenUsed/>
    <w:pPr>
      <w:spacing w:after="0" w:afterAutospacing="0"/>
    </w:pPr>
  </w:style>
  <w:style w:type="paragraph" w:styleId="680" w:default="1">
    <w:name w:val="Normal"/>
    <w:qFormat/>
    <w:pPr>
      <w:spacing w:after="200" w:line="276" w:lineRule="auto"/>
    </w:pPr>
    <w:rPr>
      <w:rFonts w:cs="Calibri"/>
    </w:rPr>
  </w:style>
  <w:style w:type="character" w:styleId="681" w:default="1">
    <w:name w:val="Default Paragraph Font"/>
    <w:uiPriority w:val="1"/>
    <w:semiHidden/>
    <w:unhideWhenUsed/>
  </w:style>
  <w:style w:type="table" w:styleId="6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paragraph" w:styleId="684">
    <w:name w:val="No Spacing"/>
    <w:uiPriority w:val="99"/>
    <w:qFormat/>
    <w:rPr>
      <w:rFonts w:cs="Calibri"/>
    </w:rPr>
  </w:style>
  <w:style w:type="paragraph" w:styleId="685" w:customStyle="1">
    <w:name w:val="ConsPlusNonformat"/>
    <w:uiPriority w:val="99"/>
    <w:pPr>
      <w:widowControl w:val="off"/>
    </w:pPr>
    <w:rPr>
      <w:rFonts w:ascii="Courier New" w:hAnsi="Courier New" w:cs="Courier New"/>
      <w:sz w:val="20"/>
      <w:szCs w:val="20"/>
    </w:rPr>
  </w:style>
  <w:style w:type="paragraph" w:styleId="686">
    <w:name w:val="Balloon Text"/>
    <w:basedOn w:val="680"/>
    <w:link w:val="687"/>
    <w:uiPriority w:val="99"/>
    <w:semiHidden/>
    <w:rPr>
      <w:rFonts w:ascii="Tahoma" w:hAnsi="Tahoma" w:cs="Tahoma"/>
      <w:sz w:val="16"/>
      <w:szCs w:val="16"/>
    </w:rPr>
  </w:style>
  <w:style w:type="character" w:styleId="687" w:customStyle="1">
    <w:name w:val="Текст выноски Знак"/>
    <w:basedOn w:val="681"/>
    <w:link w:val="686"/>
    <w:uiPriority w:val="99"/>
    <w:semiHidden/>
    <w:rPr>
      <w:rFonts w:ascii="Times New Roman" w:hAnsi="Times New Roman"/>
      <w:sz w:val="0"/>
      <w:szCs w:val="0"/>
    </w:rPr>
  </w:style>
  <w:style w:type="table" w:styleId="688">
    <w:name w:val="Table Grid"/>
    <w:basedOn w:val="682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9">
    <w:name w:val="List Paragraph"/>
    <w:basedOn w:val="680"/>
    <w:uiPriority w:val="34"/>
    <w:qFormat/>
    <w:pPr>
      <w:contextualSpacing/>
      <w:ind w:left="720"/>
      <w:spacing w:after="160" w:line="259" w:lineRule="auto"/>
    </w:pPr>
    <w:rPr>
      <w:rFonts w:asciiTheme="minorHAnsi" w:hAnsiTheme="minorHAnsi" w:eastAsiaTheme="minorHAnsi" w:cstheme="minorBidi"/>
      <w:lang w:eastAsia="en-US"/>
    </w:rPr>
  </w:style>
  <w:style w:type="paragraph" w:styleId="690">
    <w:name w:val="Header"/>
    <w:basedOn w:val="680"/>
    <w:link w:val="69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1" w:customStyle="1">
    <w:name w:val="Верхний колонтитул Знак"/>
    <w:basedOn w:val="681"/>
    <w:link w:val="690"/>
    <w:uiPriority w:val="99"/>
    <w:rPr>
      <w:rFonts w:cs="Calibri"/>
    </w:rPr>
  </w:style>
  <w:style w:type="paragraph" w:styleId="692">
    <w:name w:val="Footer"/>
    <w:basedOn w:val="680"/>
    <w:link w:val="69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3" w:customStyle="1">
    <w:name w:val="Нижний колонтитул Знак"/>
    <w:basedOn w:val="681"/>
    <w:link w:val="692"/>
    <w:uiPriority w:val="99"/>
    <w:rPr>
      <w:rFonts w:cs="Calibri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ONLYOFFICE/7.0.1.37</Application>
  <Company>Home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</dc:creator>
  <cp:revision>23</cp:revision>
  <dcterms:created xsi:type="dcterms:W3CDTF">2022-05-30T06:49:00Z</dcterms:created>
  <dcterms:modified xsi:type="dcterms:W3CDTF">2024-08-23T12:51:50Z</dcterms:modified>
</cp:coreProperties>
</file>